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A53A3" w14:textId="77777777" w:rsidR="0031289A" w:rsidRDefault="0031289A" w:rsidP="0031289A">
      <w:pPr>
        <w:spacing w:line="240" w:lineRule="auto"/>
        <w:rPr>
          <w:b/>
        </w:rPr>
      </w:pPr>
      <w:r>
        <w:rPr>
          <w:b/>
        </w:rPr>
        <w:t>Draft Letter to Prescribers (on facility letterhead)</w:t>
      </w:r>
    </w:p>
    <w:p w14:paraId="43F77758" w14:textId="77777777" w:rsidR="0031289A" w:rsidRDefault="0031289A" w:rsidP="0031289A">
      <w:pPr>
        <w:spacing w:line="240" w:lineRule="auto"/>
      </w:pPr>
    </w:p>
    <w:p w14:paraId="07AA50BA" w14:textId="77777777" w:rsidR="0031289A" w:rsidRDefault="0031289A" w:rsidP="0031289A">
      <w:pPr>
        <w:spacing w:line="240" w:lineRule="auto"/>
      </w:pPr>
    </w:p>
    <w:p w14:paraId="2BE7964F" w14:textId="77777777" w:rsidR="0031289A" w:rsidRDefault="0031289A" w:rsidP="0031289A">
      <w:pPr>
        <w:spacing w:line="240" w:lineRule="auto"/>
      </w:pPr>
      <w:r>
        <w:t>DATE</w:t>
      </w:r>
    </w:p>
    <w:p w14:paraId="6E7E2B04" w14:textId="77777777" w:rsidR="0031289A" w:rsidRDefault="0031289A" w:rsidP="0031289A">
      <w:pPr>
        <w:spacing w:line="240" w:lineRule="auto"/>
      </w:pPr>
    </w:p>
    <w:p w14:paraId="79451BE1" w14:textId="77777777" w:rsidR="0031289A" w:rsidRDefault="0031289A" w:rsidP="0031289A">
      <w:pPr>
        <w:spacing w:line="240" w:lineRule="auto"/>
      </w:pPr>
      <w:r>
        <w:t>Dear (Prescriber/Clinician),</w:t>
      </w:r>
    </w:p>
    <w:p w14:paraId="6B4B8870" w14:textId="77777777" w:rsidR="0031289A" w:rsidRDefault="0031289A" w:rsidP="0031289A">
      <w:pPr>
        <w:spacing w:line="240" w:lineRule="auto"/>
      </w:pPr>
    </w:p>
    <w:p w14:paraId="4BBE1AB6" w14:textId="77777777" w:rsidR="0031289A" w:rsidRDefault="0031289A" w:rsidP="0031289A">
      <w:pPr>
        <w:spacing w:line="240" w:lineRule="auto"/>
      </w:pPr>
      <w:r>
        <w:t xml:space="preserve">Thank you for being a critical member of our interprofessional team. As part of our efforts to address the COVID-19 pandemic, we have increased the frequency of our in-house monitoring of resident medication regimens. The purpose of this letter is to explain our recommended changes to your resident’s medication regimen and solicit your support. </w:t>
      </w:r>
    </w:p>
    <w:p w14:paraId="571392DB" w14:textId="77777777" w:rsidR="0031289A" w:rsidRDefault="0031289A" w:rsidP="0031289A">
      <w:pPr>
        <w:spacing w:line="240" w:lineRule="auto"/>
      </w:pPr>
    </w:p>
    <w:p w14:paraId="24F5B420" w14:textId="77777777" w:rsidR="0031289A" w:rsidRDefault="0031289A" w:rsidP="0031289A">
      <w:pPr>
        <w:spacing w:line="240" w:lineRule="auto"/>
      </w:pPr>
      <w:r>
        <w:t xml:space="preserve">In light of the threats posed by the pandemic, we have focused our review on several areas. One is to reduce medications that may no longer be necessary and to align the times that medications are given as much as possible. This can reduce burden on residents and minimize non-essential close contact between residents and staff, thereby reducing risks of disease transmission. It also allows our nurses to spend more time on other essential activities that support resident well-being. In addition, certain medications pose special risks during this period of COVID-19. This includes medications that require additional administration times as well as large, chalky pills which frequently cause residents to cough or require close physical contact from staff to help swallow. Even when appropriate for long-term use, medicines that can safely be stopped for weeks or months may be appropriate to temporarily hold during this period of high COVID-19 threats.  </w:t>
      </w:r>
    </w:p>
    <w:p w14:paraId="010BFDEE" w14:textId="77777777" w:rsidR="0031289A" w:rsidRDefault="0031289A" w:rsidP="0031289A">
      <w:pPr>
        <w:spacing w:line="240" w:lineRule="auto"/>
        <w:rPr>
          <w:b/>
        </w:rPr>
      </w:pPr>
    </w:p>
    <w:p w14:paraId="44193FD2" w14:textId="77777777" w:rsidR="0031289A" w:rsidRDefault="0031289A" w:rsidP="0031289A">
      <w:pPr>
        <w:spacing w:line="240" w:lineRule="auto"/>
      </w:pPr>
      <w:r>
        <w:rPr>
          <w:b/>
        </w:rPr>
        <w:t xml:space="preserve">Our overriding goal is to protect the health and well-being of our residents. </w:t>
      </w:r>
      <w:r>
        <w:t xml:space="preserve"> We are thus making medication recommendations that we believe will promote our residents’ health and safety in light of both their chronic conditions and threats posed by COVID-19.  Our in-house team, with input from residents, direct care workers, and family members and care partners has identified the following residents with medication regimens that could be modified. </w:t>
      </w:r>
    </w:p>
    <w:p w14:paraId="17B22326" w14:textId="77777777" w:rsidR="0031289A" w:rsidRDefault="0031289A" w:rsidP="0031289A">
      <w:pPr>
        <w:spacing w:line="240" w:lineRule="auto"/>
      </w:pPr>
    </w:p>
    <w:tbl>
      <w:tblPr>
        <w:tblW w:w="919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9"/>
        <w:gridCol w:w="2005"/>
        <w:gridCol w:w="1653"/>
        <w:gridCol w:w="1490"/>
        <w:gridCol w:w="2357"/>
      </w:tblGrid>
      <w:tr w:rsidR="0031289A" w14:paraId="0F33E016" w14:textId="77777777" w:rsidTr="00C3310D">
        <w:trPr>
          <w:trHeight w:val="449"/>
        </w:trPr>
        <w:tc>
          <w:tcPr>
            <w:tcW w:w="1689" w:type="dxa"/>
            <w:tcBorders>
              <w:top w:val="single" w:sz="6" w:space="0" w:color="FFFFFF"/>
              <w:left w:val="single" w:sz="6" w:space="0" w:color="FFFFFF"/>
              <w:bottom w:val="single" w:sz="6" w:space="0" w:color="FFFFFF"/>
              <w:right w:val="single" w:sz="6" w:space="0" w:color="FFFFFF"/>
            </w:tcBorders>
            <w:shd w:val="clear" w:color="auto" w:fill="999999"/>
            <w:tcMar>
              <w:top w:w="144" w:type="dxa"/>
              <w:left w:w="144" w:type="dxa"/>
              <w:bottom w:w="144" w:type="dxa"/>
              <w:right w:w="144" w:type="dxa"/>
            </w:tcMar>
          </w:tcPr>
          <w:p w14:paraId="27FB2F2A" w14:textId="77777777" w:rsidR="0031289A" w:rsidRDefault="0031289A" w:rsidP="00493275">
            <w:pPr>
              <w:spacing w:line="240" w:lineRule="auto"/>
              <w:rPr>
                <w:b/>
                <w:color w:val="FFFFFF"/>
                <w:sz w:val="20"/>
                <w:szCs w:val="20"/>
              </w:rPr>
            </w:pPr>
            <w:r>
              <w:rPr>
                <w:b/>
                <w:color w:val="FFFFFF"/>
                <w:sz w:val="20"/>
                <w:szCs w:val="20"/>
              </w:rPr>
              <w:t>Name</w:t>
            </w:r>
          </w:p>
        </w:tc>
        <w:tc>
          <w:tcPr>
            <w:tcW w:w="2005" w:type="dxa"/>
            <w:tcBorders>
              <w:top w:val="single" w:sz="6" w:space="0" w:color="FFFFFF"/>
              <w:left w:val="single" w:sz="6" w:space="0" w:color="FFFFFF"/>
              <w:bottom w:val="single" w:sz="6" w:space="0" w:color="FFFFFF"/>
              <w:right w:val="single" w:sz="6" w:space="0" w:color="FFFFFF"/>
            </w:tcBorders>
            <w:shd w:val="clear" w:color="auto" w:fill="999999"/>
            <w:tcMar>
              <w:top w:w="144" w:type="dxa"/>
              <w:left w:w="144" w:type="dxa"/>
              <w:bottom w:w="144" w:type="dxa"/>
              <w:right w:w="144" w:type="dxa"/>
            </w:tcMar>
          </w:tcPr>
          <w:p w14:paraId="6A4D273C" w14:textId="77777777" w:rsidR="0031289A" w:rsidRDefault="0031289A" w:rsidP="00493275">
            <w:pPr>
              <w:spacing w:line="240" w:lineRule="auto"/>
              <w:rPr>
                <w:b/>
                <w:color w:val="FFFFFF"/>
                <w:sz w:val="20"/>
                <w:szCs w:val="20"/>
              </w:rPr>
            </w:pPr>
            <w:r>
              <w:rPr>
                <w:b/>
                <w:color w:val="FFFFFF"/>
                <w:sz w:val="20"/>
                <w:szCs w:val="20"/>
              </w:rPr>
              <w:t>Current Medication Regimen</w:t>
            </w:r>
          </w:p>
        </w:tc>
        <w:tc>
          <w:tcPr>
            <w:tcW w:w="1653" w:type="dxa"/>
            <w:tcBorders>
              <w:top w:val="single" w:sz="6" w:space="0" w:color="FFFFFF"/>
              <w:left w:val="single" w:sz="6" w:space="0" w:color="FFFFFF"/>
              <w:bottom w:val="single" w:sz="6" w:space="0" w:color="FFFFFF"/>
              <w:right w:val="single" w:sz="6" w:space="0" w:color="FFFFFF"/>
            </w:tcBorders>
            <w:shd w:val="clear" w:color="auto" w:fill="999999"/>
            <w:tcMar>
              <w:top w:w="144" w:type="dxa"/>
              <w:left w:w="144" w:type="dxa"/>
              <w:bottom w:w="144" w:type="dxa"/>
              <w:right w:w="144" w:type="dxa"/>
            </w:tcMar>
          </w:tcPr>
          <w:p w14:paraId="2CE725DB" w14:textId="77777777" w:rsidR="0031289A" w:rsidRDefault="0031289A" w:rsidP="00493275">
            <w:pPr>
              <w:spacing w:line="240" w:lineRule="auto"/>
              <w:rPr>
                <w:b/>
                <w:color w:val="FFFFFF"/>
                <w:sz w:val="20"/>
                <w:szCs w:val="20"/>
              </w:rPr>
            </w:pPr>
            <w:r>
              <w:rPr>
                <w:b/>
                <w:color w:val="FFFFFF"/>
                <w:sz w:val="20"/>
                <w:szCs w:val="20"/>
              </w:rPr>
              <w:t>Recommended Changes</w:t>
            </w:r>
          </w:p>
        </w:tc>
        <w:tc>
          <w:tcPr>
            <w:tcW w:w="1490" w:type="dxa"/>
            <w:tcBorders>
              <w:top w:val="single" w:sz="6" w:space="0" w:color="FFFFFF"/>
              <w:left w:val="single" w:sz="6" w:space="0" w:color="FFFFFF"/>
              <w:bottom w:val="single" w:sz="6" w:space="0" w:color="FFFFFF"/>
              <w:right w:val="single" w:sz="6" w:space="0" w:color="FFFFFF"/>
            </w:tcBorders>
            <w:shd w:val="clear" w:color="auto" w:fill="999999"/>
            <w:tcMar>
              <w:top w:w="144" w:type="dxa"/>
              <w:left w:w="144" w:type="dxa"/>
              <w:bottom w:w="144" w:type="dxa"/>
              <w:right w:w="144" w:type="dxa"/>
            </w:tcMar>
          </w:tcPr>
          <w:p w14:paraId="3AA3FC1B" w14:textId="77777777" w:rsidR="0031289A" w:rsidRDefault="0031289A" w:rsidP="00493275">
            <w:pPr>
              <w:spacing w:line="240" w:lineRule="auto"/>
              <w:ind w:right="180"/>
              <w:rPr>
                <w:b/>
                <w:color w:val="FFFFFF"/>
                <w:sz w:val="20"/>
                <w:szCs w:val="20"/>
              </w:rPr>
            </w:pPr>
            <w:r>
              <w:rPr>
                <w:b/>
                <w:color w:val="FFFFFF"/>
                <w:sz w:val="20"/>
                <w:szCs w:val="20"/>
              </w:rPr>
              <w:t>Rationale</w:t>
            </w:r>
          </w:p>
        </w:tc>
        <w:tc>
          <w:tcPr>
            <w:tcW w:w="2357" w:type="dxa"/>
            <w:tcBorders>
              <w:top w:val="single" w:sz="6" w:space="0" w:color="FFFFFF"/>
              <w:left w:val="single" w:sz="6" w:space="0" w:color="FFFFFF"/>
              <w:bottom w:val="single" w:sz="6" w:space="0" w:color="FFFFFF"/>
              <w:right w:val="single" w:sz="6" w:space="0" w:color="FFFFFF"/>
            </w:tcBorders>
            <w:shd w:val="clear" w:color="auto" w:fill="999999"/>
            <w:tcMar>
              <w:top w:w="144" w:type="dxa"/>
              <w:left w:w="144" w:type="dxa"/>
              <w:bottom w:w="144" w:type="dxa"/>
              <w:right w:w="144" w:type="dxa"/>
            </w:tcMar>
          </w:tcPr>
          <w:p w14:paraId="400B5E77" w14:textId="77777777" w:rsidR="0031289A" w:rsidRDefault="0031289A" w:rsidP="00493275">
            <w:pPr>
              <w:spacing w:line="240" w:lineRule="auto"/>
              <w:rPr>
                <w:b/>
                <w:color w:val="FFFFFF"/>
                <w:sz w:val="20"/>
                <w:szCs w:val="20"/>
              </w:rPr>
            </w:pPr>
            <w:r>
              <w:rPr>
                <w:b/>
                <w:color w:val="FFFFFF"/>
                <w:sz w:val="20"/>
                <w:szCs w:val="20"/>
              </w:rPr>
              <w:t>Comments (alternatives recommended by PCP)</w:t>
            </w:r>
          </w:p>
        </w:tc>
      </w:tr>
      <w:tr w:rsidR="0031289A" w14:paraId="7C4B8D72" w14:textId="77777777" w:rsidTr="00C3310D">
        <w:trPr>
          <w:trHeight w:val="232"/>
        </w:trPr>
        <w:tc>
          <w:tcPr>
            <w:tcW w:w="1689" w:type="dxa"/>
            <w:tcBorders>
              <w:top w:val="single" w:sz="6" w:space="0" w:color="FFFFFF"/>
              <w:left w:val="single" w:sz="6" w:space="0" w:color="999999"/>
              <w:bottom w:val="single" w:sz="6" w:space="0" w:color="999999"/>
              <w:right w:val="single" w:sz="6" w:space="0" w:color="999999"/>
            </w:tcBorders>
            <w:tcMar>
              <w:top w:w="115" w:type="dxa"/>
              <w:left w:w="115" w:type="dxa"/>
              <w:bottom w:w="115" w:type="dxa"/>
              <w:right w:w="115" w:type="dxa"/>
            </w:tcMar>
          </w:tcPr>
          <w:p w14:paraId="54287233" w14:textId="77777777" w:rsidR="0031289A" w:rsidRDefault="0031289A" w:rsidP="00493275">
            <w:pPr>
              <w:spacing w:line="240" w:lineRule="auto"/>
            </w:pPr>
          </w:p>
        </w:tc>
        <w:tc>
          <w:tcPr>
            <w:tcW w:w="2005" w:type="dxa"/>
            <w:tcBorders>
              <w:top w:val="single" w:sz="6" w:space="0" w:color="FFFFFF"/>
              <w:left w:val="single" w:sz="6" w:space="0" w:color="999999"/>
              <w:bottom w:val="single" w:sz="6" w:space="0" w:color="999999"/>
              <w:right w:val="single" w:sz="6" w:space="0" w:color="999999"/>
            </w:tcBorders>
            <w:tcMar>
              <w:top w:w="115" w:type="dxa"/>
              <w:left w:w="115" w:type="dxa"/>
              <w:bottom w:w="115" w:type="dxa"/>
              <w:right w:w="115" w:type="dxa"/>
            </w:tcMar>
          </w:tcPr>
          <w:p w14:paraId="2EB1EFEF" w14:textId="77777777" w:rsidR="0031289A" w:rsidRDefault="0031289A" w:rsidP="00493275">
            <w:pPr>
              <w:spacing w:line="240" w:lineRule="auto"/>
            </w:pPr>
          </w:p>
        </w:tc>
        <w:tc>
          <w:tcPr>
            <w:tcW w:w="1653" w:type="dxa"/>
            <w:tcBorders>
              <w:top w:val="single" w:sz="6" w:space="0" w:color="FFFFFF"/>
              <w:left w:val="single" w:sz="6" w:space="0" w:color="999999"/>
              <w:bottom w:val="single" w:sz="6" w:space="0" w:color="999999"/>
              <w:right w:val="single" w:sz="6" w:space="0" w:color="999999"/>
            </w:tcBorders>
            <w:tcMar>
              <w:top w:w="115" w:type="dxa"/>
              <w:left w:w="115" w:type="dxa"/>
              <w:bottom w:w="115" w:type="dxa"/>
              <w:right w:w="115" w:type="dxa"/>
            </w:tcMar>
          </w:tcPr>
          <w:p w14:paraId="7B4E82C1" w14:textId="77777777" w:rsidR="0031289A" w:rsidRDefault="0031289A" w:rsidP="00493275">
            <w:pPr>
              <w:spacing w:line="240" w:lineRule="auto"/>
            </w:pPr>
          </w:p>
        </w:tc>
        <w:tc>
          <w:tcPr>
            <w:tcW w:w="1490" w:type="dxa"/>
            <w:tcBorders>
              <w:top w:val="single" w:sz="6" w:space="0" w:color="FFFFFF"/>
              <w:left w:val="single" w:sz="6" w:space="0" w:color="999999"/>
              <w:bottom w:val="single" w:sz="6" w:space="0" w:color="999999"/>
              <w:right w:val="single" w:sz="6" w:space="0" w:color="999999"/>
            </w:tcBorders>
            <w:tcMar>
              <w:top w:w="115" w:type="dxa"/>
              <w:left w:w="115" w:type="dxa"/>
              <w:bottom w:w="115" w:type="dxa"/>
              <w:right w:w="115" w:type="dxa"/>
            </w:tcMar>
          </w:tcPr>
          <w:p w14:paraId="0DFB2BA4" w14:textId="77777777" w:rsidR="0031289A" w:rsidRDefault="0031289A" w:rsidP="00493275">
            <w:pPr>
              <w:spacing w:line="240" w:lineRule="auto"/>
            </w:pPr>
          </w:p>
        </w:tc>
        <w:tc>
          <w:tcPr>
            <w:tcW w:w="2357" w:type="dxa"/>
            <w:tcBorders>
              <w:top w:val="single" w:sz="6" w:space="0" w:color="FFFFFF"/>
              <w:left w:val="single" w:sz="6" w:space="0" w:color="999999"/>
              <w:bottom w:val="single" w:sz="6" w:space="0" w:color="999999"/>
              <w:right w:val="single" w:sz="6" w:space="0" w:color="999999"/>
            </w:tcBorders>
            <w:tcMar>
              <w:top w:w="115" w:type="dxa"/>
              <w:left w:w="115" w:type="dxa"/>
              <w:bottom w:w="115" w:type="dxa"/>
              <w:right w:w="115" w:type="dxa"/>
            </w:tcMar>
          </w:tcPr>
          <w:p w14:paraId="77C5DA10" w14:textId="77777777" w:rsidR="0031289A" w:rsidRDefault="0031289A" w:rsidP="00493275">
            <w:pPr>
              <w:spacing w:line="240" w:lineRule="auto"/>
            </w:pPr>
          </w:p>
        </w:tc>
      </w:tr>
      <w:tr w:rsidR="0031289A" w14:paraId="235E6223" w14:textId="77777777" w:rsidTr="00C3310D">
        <w:trPr>
          <w:trHeight w:val="232"/>
        </w:trPr>
        <w:tc>
          <w:tcPr>
            <w:tcW w:w="1689" w:type="dxa"/>
            <w:tcBorders>
              <w:top w:val="single" w:sz="6" w:space="0" w:color="999999"/>
              <w:left w:val="single" w:sz="6" w:space="0" w:color="999999"/>
              <w:bottom w:val="single" w:sz="6" w:space="0" w:color="999999"/>
              <w:right w:val="single" w:sz="6" w:space="0" w:color="999999"/>
            </w:tcBorders>
            <w:tcMar>
              <w:top w:w="115" w:type="dxa"/>
              <w:left w:w="115" w:type="dxa"/>
              <w:bottom w:w="115" w:type="dxa"/>
              <w:right w:w="115" w:type="dxa"/>
            </w:tcMar>
          </w:tcPr>
          <w:p w14:paraId="797E5582" w14:textId="77777777" w:rsidR="0031289A" w:rsidRDefault="0031289A" w:rsidP="00493275">
            <w:pPr>
              <w:spacing w:line="240" w:lineRule="auto"/>
            </w:pPr>
          </w:p>
        </w:tc>
        <w:tc>
          <w:tcPr>
            <w:tcW w:w="2005" w:type="dxa"/>
            <w:tcBorders>
              <w:top w:val="single" w:sz="6" w:space="0" w:color="999999"/>
              <w:left w:val="single" w:sz="6" w:space="0" w:color="999999"/>
              <w:bottom w:val="single" w:sz="6" w:space="0" w:color="999999"/>
              <w:right w:val="single" w:sz="6" w:space="0" w:color="999999"/>
            </w:tcBorders>
            <w:tcMar>
              <w:top w:w="115" w:type="dxa"/>
              <w:left w:w="115" w:type="dxa"/>
              <w:bottom w:w="115" w:type="dxa"/>
              <w:right w:w="115" w:type="dxa"/>
            </w:tcMar>
          </w:tcPr>
          <w:p w14:paraId="7EA3493E" w14:textId="77777777" w:rsidR="0031289A" w:rsidRDefault="0031289A" w:rsidP="00493275">
            <w:pPr>
              <w:spacing w:line="240" w:lineRule="auto"/>
            </w:pPr>
          </w:p>
        </w:tc>
        <w:tc>
          <w:tcPr>
            <w:tcW w:w="1653" w:type="dxa"/>
            <w:tcBorders>
              <w:top w:val="single" w:sz="6" w:space="0" w:color="999999"/>
              <w:left w:val="single" w:sz="6" w:space="0" w:color="999999"/>
              <w:bottom w:val="single" w:sz="6" w:space="0" w:color="999999"/>
              <w:right w:val="single" w:sz="6" w:space="0" w:color="999999"/>
            </w:tcBorders>
            <w:tcMar>
              <w:top w:w="115" w:type="dxa"/>
              <w:left w:w="115" w:type="dxa"/>
              <w:bottom w:w="115" w:type="dxa"/>
              <w:right w:w="115" w:type="dxa"/>
            </w:tcMar>
          </w:tcPr>
          <w:p w14:paraId="593DDAD0" w14:textId="77777777" w:rsidR="0031289A" w:rsidRDefault="0031289A" w:rsidP="00493275">
            <w:pPr>
              <w:spacing w:line="240" w:lineRule="auto"/>
            </w:pPr>
          </w:p>
        </w:tc>
        <w:tc>
          <w:tcPr>
            <w:tcW w:w="1490" w:type="dxa"/>
            <w:tcBorders>
              <w:top w:val="single" w:sz="6" w:space="0" w:color="999999"/>
              <w:left w:val="single" w:sz="6" w:space="0" w:color="999999"/>
              <w:bottom w:val="single" w:sz="6" w:space="0" w:color="999999"/>
              <w:right w:val="single" w:sz="6" w:space="0" w:color="999999"/>
            </w:tcBorders>
            <w:tcMar>
              <w:top w:w="115" w:type="dxa"/>
              <w:left w:w="115" w:type="dxa"/>
              <w:bottom w:w="115" w:type="dxa"/>
              <w:right w:w="115" w:type="dxa"/>
            </w:tcMar>
          </w:tcPr>
          <w:p w14:paraId="3500512E" w14:textId="77777777" w:rsidR="0031289A" w:rsidRDefault="0031289A" w:rsidP="00493275">
            <w:pPr>
              <w:spacing w:line="240" w:lineRule="auto"/>
            </w:pPr>
          </w:p>
        </w:tc>
        <w:tc>
          <w:tcPr>
            <w:tcW w:w="2357" w:type="dxa"/>
            <w:tcBorders>
              <w:top w:val="single" w:sz="6" w:space="0" w:color="999999"/>
              <w:left w:val="single" w:sz="6" w:space="0" w:color="999999"/>
              <w:bottom w:val="single" w:sz="6" w:space="0" w:color="999999"/>
              <w:right w:val="single" w:sz="6" w:space="0" w:color="999999"/>
            </w:tcBorders>
            <w:tcMar>
              <w:top w:w="115" w:type="dxa"/>
              <w:left w:w="115" w:type="dxa"/>
              <w:bottom w:w="115" w:type="dxa"/>
              <w:right w:w="115" w:type="dxa"/>
            </w:tcMar>
          </w:tcPr>
          <w:p w14:paraId="68370F99" w14:textId="77777777" w:rsidR="0031289A" w:rsidRDefault="0031289A" w:rsidP="00493275">
            <w:pPr>
              <w:spacing w:line="240" w:lineRule="auto"/>
            </w:pPr>
          </w:p>
        </w:tc>
      </w:tr>
    </w:tbl>
    <w:p w14:paraId="76E78E5C" w14:textId="77777777" w:rsidR="0031289A" w:rsidRDefault="0031289A" w:rsidP="0031289A">
      <w:pPr>
        <w:spacing w:line="240" w:lineRule="auto"/>
      </w:pPr>
    </w:p>
    <w:p w14:paraId="2C4D61B9" w14:textId="77777777" w:rsidR="0031289A" w:rsidRDefault="0031289A" w:rsidP="0031289A">
      <w:pPr>
        <w:spacing w:line="240" w:lineRule="auto"/>
      </w:pPr>
      <w:r>
        <w:t xml:space="preserve">Please contact Dr. X, Medical Director, at (email, phone) if you would like to discuss these changes.  We would be glad to talk. If we do not hear back from you within [XX days/week(s)], we will make these changes. </w:t>
      </w:r>
    </w:p>
    <w:p w14:paraId="2FAACB41" w14:textId="77777777" w:rsidR="0031289A" w:rsidRDefault="0031289A" w:rsidP="0031289A">
      <w:pPr>
        <w:spacing w:line="240" w:lineRule="auto"/>
      </w:pPr>
    </w:p>
    <w:p w14:paraId="4644364F" w14:textId="77777777" w:rsidR="0031289A" w:rsidRDefault="0031289A" w:rsidP="0031289A">
      <w:pPr>
        <w:spacing w:line="240" w:lineRule="auto"/>
      </w:pPr>
      <w:r>
        <w:t>Thank you very much for your care of residents in this community. We value your leadership and insights in promoting wellness, quality of care and quality of life.</w:t>
      </w:r>
    </w:p>
    <w:p w14:paraId="41E4494B" w14:textId="77777777" w:rsidR="0031289A" w:rsidRDefault="0031289A" w:rsidP="0031289A">
      <w:pPr>
        <w:spacing w:line="240" w:lineRule="auto"/>
      </w:pPr>
      <w:r>
        <w:t xml:space="preserve"> </w:t>
      </w:r>
    </w:p>
    <w:p w14:paraId="6DDC9EDB" w14:textId="77777777" w:rsidR="0031289A" w:rsidRDefault="0031289A" w:rsidP="0031289A">
      <w:pPr>
        <w:spacing w:line="240" w:lineRule="auto"/>
      </w:pPr>
      <w:r>
        <w:t>Sincerely,</w:t>
      </w:r>
    </w:p>
    <w:p w14:paraId="43C724E1" w14:textId="77777777" w:rsidR="0031289A" w:rsidRDefault="0031289A" w:rsidP="0031289A">
      <w:pPr>
        <w:spacing w:line="240" w:lineRule="auto"/>
      </w:pPr>
    </w:p>
    <w:p w14:paraId="49DEA62D" w14:textId="77777777" w:rsidR="0031289A" w:rsidRDefault="0031289A" w:rsidP="0031289A">
      <w:pPr>
        <w:spacing w:line="240" w:lineRule="auto"/>
      </w:pPr>
      <w:r>
        <w:t>CMO</w:t>
      </w:r>
    </w:p>
    <w:p w14:paraId="7D99EF66" w14:textId="77777777" w:rsidR="0031289A" w:rsidRDefault="0031289A" w:rsidP="0031289A">
      <w:pPr>
        <w:spacing w:line="240" w:lineRule="auto"/>
      </w:pPr>
      <w:r>
        <w:t>CNO</w:t>
      </w:r>
    </w:p>
    <w:p w14:paraId="15822135" w14:textId="77777777" w:rsidR="0031289A" w:rsidRDefault="0031289A" w:rsidP="0031289A">
      <w:pPr>
        <w:spacing w:line="240" w:lineRule="auto"/>
      </w:pPr>
      <w:r>
        <w:lastRenderedPageBreak/>
        <w:t>PharmD</w:t>
      </w:r>
    </w:p>
    <w:p w14:paraId="63A14CF6" w14:textId="31E460BD" w:rsidR="008924EA" w:rsidRDefault="0031289A" w:rsidP="0031289A">
      <w:pPr>
        <w:spacing w:line="240" w:lineRule="auto"/>
      </w:pPr>
      <w:r>
        <w:t>Administrator</w:t>
      </w:r>
    </w:p>
    <w:sectPr w:rsidR="008924EA" w:rsidSect="002D6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9A"/>
    <w:rsid w:val="002D63D3"/>
    <w:rsid w:val="0031289A"/>
    <w:rsid w:val="008924EA"/>
    <w:rsid w:val="00C3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F55C"/>
  <w15:chartTrackingRefBased/>
  <w15:docId w15:val="{4CC9876C-4077-8D41-8ED9-6AD6286B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9A"/>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Malissa Carroll</dc:creator>
  <cp:keywords/>
  <dc:description/>
  <cp:lastModifiedBy>Malissa Carroll</cp:lastModifiedBy>
  <cp:revision>2</cp:revision>
  <dcterms:created xsi:type="dcterms:W3CDTF">2020-04-10T16:57:00Z</dcterms:created>
  <dcterms:modified xsi:type="dcterms:W3CDTF">2020-04-10T16:57:00Z</dcterms:modified>
</cp:coreProperties>
</file>